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1B3" w:rsidRDefault="001A7A18">
      <w:pPr>
        <w:spacing w:before="35"/>
        <w:ind w:left="509" w:right="511"/>
        <w:jc w:val="center"/>
        <w:rPr>
          <w:b/>
          <w:sz w:val="32"/>
        </w:rPr>
      </w:pPr>
      <w:bookmarkStart w:id="0" w:name="_GoBack"/>
      <w:bookmarkEnd w:id="0"/>
      <w:r>
        <w:rPr>
          <w:b/>
          <w:sz w:val="32"/>
        </w:rPr>
        <w:t>Fragile come la bellezza</w:t>
      </w:r>
    </w:p>
    <w:p w:rsidR="002F21B3" w:rsidRDefault="002F21B3">
      <w:pPr>
        <w:pStyle w:val="Corpotesto"/>
        <w:jc w:val="left"/>
        <w:rPr>
          <w:b/>
          <w:sz w:val="32"/>
        </w:rPr>
      </w:pPr>
    </w:p>
    <w:p w:rsidR="002F21B3" w:rsidRDefault="001A7A18">
      <w:pPr>
        <w:pStyle w:val="Titolo1"/>
        <w:spacing w:line="252" w:lineRule="auto"/>
        <w:ind w:left="509" w:right="514"/>
        <w:jc w:val="left"/>
        <w:rPr>
          <w:b w:val="0"/>
        </w:rPr>
      </w:pPr>
      <w:r>
        <w:t>Riflessioni e strumenti pratici per riconoscere le fragilità dell’adolescenza e attivare le risorse che permettono di superarle all’interno delle dinamiche adulto-adolescente.</w:t>
      </w:r>
      <w:r>
        <w:br/>
        <w:t xml:space="preserve">Un percorso pratico-esperienziale per insegnanti per </w:t>
      </w:r>
      <w:r>
        <w:t>rafforzare le conoscenze e le capacità di prevenire il fenomeno della dispersione scolastica, cogliere indicatori che preludono a situazioni a rischio e offrire gli strumenti per intervenire tempestivamente e adeguatamente.</w:t>
      </w:r>
    </w:p>
    <w:p w:rsidR="002F21B3" w:rsidRDefault="002F21B3">
      <w:pPr>
        <w:pStyle w:val="Corpotesto"/>
        <w:jc w:val="left"/>
        <w:rPr>
          <w:b/>
        </w:rPr>
      </w:pPr>
    </w:p>
    <w:tbl>
      <w:tblPr>
        <w:tblStyle w:val="Grigliatabella"/>
        <w:tblW w:w="9975" w:type="dxa"/>
        <w:tblInd w:w="112" w:type="dxa"/>
        <w:tblLayout w:type="fixed"/>
        <w:tblLook w:val="04A0" w:firstRow="1" w:lastRow="0" w:firstColumn="1" w:lastColumn="0" w:noHBand="0" w:noVBand="1"/>
      </w:tblPr>
      <w:tblGrid>
        <w:gridCol w:w="4989"/>
        <w:gridCol w:w="4986"/>
      </w:tblGrid>
      <w:tr w:rsidR="002F21B3">
        <w:trPr>
          <w:trHeight w:val="990"/>
        </w:trPr>
        <w:tc>
          <w:tcPr>
            <w:tcW w:w="4988" w:type="dxa"/>
            <w:tcBorders>
              <w:left w:val="nil"/>
            </w:tcBorders>
          </w:tcPr>
          <w:p w:rsidR="002F21B3" w:rsidRDefault="001A7A18">
            <w:pPr>
              <w:pStyle w:val="Corpotesto"/>
              <w:spacing w:before="1"/>
              <w:ind w:left="112" w:right="112"/>
              <w:rPr>
                <w:b/>
                <w:bCs/>
              </w:rPr>
            </w:pPr>
            <w:r>
              <w:rPr>
                <w:b/>
                <w:bCs/>
              </w:rPr>
              <w:t xml:space="preserve">I Incontro – Lunedì 28/2 – ore </w:t>
            </w:r>
            <w:r>
              <w:rPr>
                <w:b/>
                <w:bCs/>
              </w:rPr>
              <w:t>15:30-17:30</w:t>
            </w:r>
          </w:p>
          <w:p w:rsidR="002F21B3" w:rsidRDefault="001A7A18">
            <w:pPr>
              <w:pStyle w:val="Corpotesto"/>
              <w:spacing w:before="1"/>
              <w:ind w:left="112" w:right="112"/>
            </w:pPr>
            <w:r>
              <w:t xml:space="preserve">L'adolescenza post </w:t>
            </w:r>
            <w:proofErr w:type="spellStart"/>
            <w:r>
              <w:t>covid</w:t>
            </w:r>
            <w:proofErr w:type="spellEnd"/>
            <w:r>
              <w:t>: cosa è cambiato nei giovani (e negli adulti)</w:t>
            </w:r>
          </w:p>
        </w:tc>
        <w:tc>
          <w:tcPr>
            <w:tcW w:w="4986" w:type="dxa"/>
            <w:tcBorders>
              <w:right w:val="nil"/>
            </w:tcBorders>
          </w:tcPr>
          <w:p w:rsidR="002F21B3" w:rsidRDefault="001A7A18">
            <w:pPr>
              <w:pStyle w:val="Corpotesto"/>
              <w:spacing w:before="1"/>
              <w:ind w:left="112" w:right="112"/>
              <w:rPr>
                <w:b/>
                <w:bCs/>
              </w:rPr>
            </w:pPr>
            <w:r>
              <w:rPr>
                <w:b/>
                <w:bCs/>
              </w:rPr>
              <w:t xml:space="preserve">IV Incontro – </w:t>
            </w:r>
            <w:r>
              <w:rPr>
                <w:b/>
                <w:bCs/>
              </w:rPr>
              <w:t>Martedì</w:t>
            </w:r>
            <w:r>
              <w:rPr>
                <w:b/>
                <w:bCs/>
              </w:rPr>
              <w:t xml:space="preserve"> 12/04 - ore 15.30-17.30</w:t>
            </w:r>
          </w:p>
          <w:p w:rsidR="002F21B3" w:rsidRDefault="001A7A18">
            <w:pPr>
              <w:pStyle w:val="Corpotesto"/>
              <w:spacing w:before="1"/>
              <w:ind w:left="112" w:right="112"/>
              <w:jc w:val="left"/>
            </w:pPr>
            <w:r>
              <w:t>Per crescere un bambino ci vuole un intero villaggio: il ruolo degli adulti</w:t>
            </w:r>
          </w:p>
        </w:tc>
      </w:tr>
      <w:tr w:rsidR="002F21B3">
        <w:trPr>
          <w:trHeight w:val="960"/>
        </w:trPr>
        <w:tc>
          <w:tcPr>
            <w:tcW w:w="4988" w:type="dxa"/>
            <w:tcBorders>
              <w:left w:val="nil"/>
            </w:tcBorders>
          </w:tcPr>
          <w:p w:rsidR="002F21B3" w:rsidRDefault="001A7A18">
            <w:pPr>
              <w:pStyle w:val="Corpotesto"/>
              <w:spacing w:before="1"/>
              <w:ind w:left="112" w:right="112"/>
              <w:rPr>
                <w:b/>
                <w:bCs/>
              </w:rPr>
            </w:pPr>
            <w:r>
              <w:rPr>
                <w:b/>
                <w:bCs/>
              </w:rPr>
              <w:t>II Incontro – Lunedì 14/3 - ore 15.30-17.30</w:t>
            </w:r>
          </w:p>
          <w:p w:rsidR="002F21B3" w:rsidRDefault="001A7A18">
            <w:pPr>
              <w:pStyle w:val="Corpotesto"/>
              <w:spacing w:before="1"/>
              <w:ind w:left="112" w:right="112"/>
            </w:pPr>
            <w:r>
              <w:t>Il rit</w:t>
            </w:r>
            <w:r>
              <w:t>iro sociale dell’adolescente</w:t>
            </w:r>
          </w:p>
          <w:p w:rsidR="002F21B3" w:rsidRDefault="002F21B3">
            <w:pPr>
              <w:pStyle w:val="Corpotesto"/>
              <w:spacing w:before="1"/>
              <w:ind w:right="112"/>
              <w:rPr>
                <w:b/>
                <w:bCs/>
              </w:rPr>
            </w:pPr>
          </w:p>
        </w:tc>
        <w:tc>
          <w:tcPr>
            <w:tcW w:w="4986" w:type="dxa"/>
            <w:tcBorders>
              <w:right w:val="nil"/>
            </w:tcBorders>
          </w:tcPr>
          <w:p w:rsidR="002F21B3" w:rsidRDefault="001A7A18">
            <w:pPr>
              <w:pStyle w:val="Corpotesto"/>
              <w:spacing w:before="1"/>
              <w:ind w:left="112" w:right="112"/>
              <w:rPr>
                <w:b/>
                <w:bCs/>
              </w:rPr>
            </w:pPr>
            <w:r>
              <w:rPr>
                <w:b/>
                <w:bCs/>
              </w:rPr>
              <w:t>V Incontro – Giovedì 26/4 - ore 15.30-17.30</w:t>
            </w:r>
          </w:p>
          <w:p w:rsidR="002F21B3" w:rsidRDefault="001A7A18">
            <w:pPr>
              <w:pStyle w:val="Corpotesto"/>
              <w:spacing w:before="1"/>
              <w:ind w:left="112" w:right="112"/>
            </w:pPr>
            <w:r>
              <w:t>“Gli inquilini del cervello”, ossia le voci che ci abitano nel rapporto con lo studente e con lo stress</w:t>
            </w:r>
          </w:p>
        </w:tc>
      </w:tr>
      <w:tr w:rsidR="002F21B3">
        <w:trPr>
          <w:trHeight w:val="920"/>
        </w:trPr>
        <w:tc>
          <w:tcPr>
            <w:tcW w:w="4988" w:type="dxa"/>
            <w:tcBorders>
              <w:left w:val="nil"/>
            </w:tcBorders>
          </w:tcPr>
          <w:p w:rsidR="002F21B3" w:rsidRDefault="001A7A18">
            <w:pPr>
              <w:pStyle w:val="Corpotesto"/>
              <w:spacing w:before="1"/>
              <w:ind w:left="112" w:right="112"/>
              <w:rPr>
                <w:b/>
                <w:bCs/>
              </w:rPr>
            </w:pPr>
            <w:r>
              <w:rPr>
                <w:b/>
                <w:bCs/>
              </w:rPr>
              <w:t xml:space="preserve">III Incontro – </w:t>
            </w:r>
            <w:r>
              <w:rPr>
                <w:b/>
                <w:bCs/>
              </w:rPr>
              <w:t>Martedì 5/4</w:t>
            </w:r>
            <w:r>
              <w:rPr>
                <w:b/>
                <w:bCs/>
              </w:rPr>
              <w:t xml:space="preserve"> -ore 15.30-17.30</w:t>
            </w:r>
          </w:p>
          <w:p w:rsidR="002F21B3" w:rsidRDefault="001A7A18">
            <w:pPr>
              <w:pStyle w:val="Corpotesto"/>
              <w:spacing w:before="1"/>
              <w:ind w:left="112" w:right="112"/>
              <w:rPr>
                <w:b/>
                <w:bCs/>
              </w:rPr>
            </w:pPr>
            <w:r>
              <w:t xml:space="preserve">Corpi affamati, corpi stremati: </w:t>
            </w:r>
            <w:r>
              <w:t>il cibo e la relazione con il corpo</w:t>
            </w:r>
          </w:p>
        </w:tc>
        <w:tc>
          <w:tcPr>
            <w:tcW w:w="4986" w:type="dxa"/>
            <w:tcBorders>
              <w:right w:val="nil"/>
            </w:tcBorders>
          </w:tcPr>
          <w:p w:rsidR="002F21B3" w:rsidRDefault="001A7A18">
            <w:pPr>
              <w:pStyle w:val="Corpotesto"/>
              <w:spacing w:before="1"/>
              <w:ind w:left="112" w:right="112"/>
              <w:rPr>
                <w:b/>
                <w:bCs/>
              </w:rPr>
            </w:pPr>
            <w:r>
              <w:rPr>
                <w:b/>
                <w:bCs/>
              </w:rPr>
              <w:t>VI Incontro – Lunedì 2/</w:t>
            </w:r>
            <w:proofErr w:type="gramStart"/>
            <w:r>
              <w:rPr>
                <w:b/>
                <w:bCs/>
              </w:rPr>
              <w:t>5  -</w:t>
            </w:r>
            <w:proofErr w:type="gramEnd"/>
            <w:r>
              <w:rPr>
                <w:b/>
                <w:bCs/>
              </w:rPr>
              <w:t xml:space="preserve"> ore 15.30-17.30</w:t>
            </w:r>
          </w:p>
          <w:p w:rsidR="002F21B3" w:rsidRDefault="001A7A18">
            <w:pPr>
              <w:pStyle w:val="Corpotesto"/>
              <w:spacing w:before="1"/>
              <w:ind w:left="112" w:right="112"/>
            </w:pPr>
            <w:r>
              <w:t xml:space="preserve">L’adolescenza e lo spazio della relazione: strumenti per leggere </w:t>
            </w:r>
            <w:proofErr w:type="spellStart"/>
            <w:r>
              <w:t>agìti</w:t>
            </w:r>
            <w:proofErr w:type="spellEnd"/>
            <w:r>
              <w:t>, richieste, bisogni</w:t>
            </w:r>
          </w:p>
        </w:tc>
      </w:tr>
    </w:tbl>
    <w:p w:rsidR="002F21B3" w:rsidRDefault="002F21B3">
      <w:pPr>
        <w:pStyle w:val="Corpotesto"/>
        <w:spacing w:before="1"/>
        <w:ind w:left="112" w:right="112"/>
      </w:pPr>
    </w:p>
    <w:p w:rsidR="002F21B3" w:rsidRDefault="002F21B3">
      <w:pPr>
        <w:pStyle w:val="Corpotesto"/>
        <w:spacing w:before="9"/>
        <w:jc w:val="left"/>
        <w:rPr>
          <w:i/>
          <w:sz w:val="29"/>
        </w:rPr>
      </w:pPr>
    </w:p>
    <w:p w:rsidR="002F21B3" w:rsidRDefault="001A7A18">
      <w:pPr>
        <w:pStyle w:val="Titolo1"/>
        <w:jc w:val="both"/>
      </w:pPr>
      <w:r>
        <w:t>IL PERCORSO</w:t>
      </w:r>
    </w:p>
    <w:p w:rsidR="002F21B3" w:rsidRDefault="001A7A18">
      <w:pPr>
        <w:pStyle w:val="Corpotesto"/>
        <w:pBdr>
          <w:top w:val="single" w:sz="4" w:space="1" w:color="000000"/>
        </w:pBdr>
        <w:spacing w:before="1"/>
        <w:ind w:left="112" w:right="112"/>
      </w:pPr>
      <w:r>
        <w:t xml:space="preserve">Il percorso è costruito per insegnanti, e vuole essere un momento per prendersi dello spazio per riflettere sul proprio ruolo di adulti che hanno in carico la crescita di un giovane adolescente. Questo spazio sarà uno spazio condiviso e co-costruito, per </w:t>
      </w:r>
      <w:r>
        <w:rPr>
          <w:i/>
        </w:rPr>
        <w:t>p</w:t>
      </w:r>
      <w:r>
        <w:rPr>
          <w:i/>
        </w:rPr>
        <w:t xml:space="preserve">ensare </w:t>
      </w:r>
      <w:r>
        <w:t>i nostri adolescenti, entrare in contatto con i loro bisogni profondi e poter così essere capaci di accompagnarli nella fragilità di questo momento di vita, individuando quando quest’ultima è troppo pesante per le loro spalle.</w:t>
      </w:r>
    </w:p>
    <w:p w:rsidR="002F21B3" w:rsidRDefault="001A7A18">
      <w:pPr>
        <w:pStyle w:val="Corpotesto"/>
        <w:ind w:left="112" w:right="109"/>
      </w:pPr>
      <w:r>
        <w:t>Il centro di questi in</w:t>
      </w:r>
      <w:r>
        <w:t>contri saranno gli adolescenti e le loro fragilità, ma soprattutto la capacità di noi adulti di entrare in contatto con queste, di saperle riconoscere e accogliere per accompagnarle a diventare un’opportunità.</w:t>
      </w:r>
    </w:p>
    <w:p w:rsidR="002F21B3" w:rsidRDefault="001A7A18">
      <w:pPr>
        <w:pStyle w:val="Corpotesto"/>
        <w:ind w:left="112" w:right="111"/>
      </w:pPr>
      <w:r>
        <w:t>Tale formazione ha l'obiettivo di rafforzare l</w:t>
      </w:r>
      <w:r>
        <w:t xml:space="preserve">e capacità e life skills </w:t>
      </w:r>
      <w:r>
        <w:t>degli</w:t>
      </w:r>
      <w:r>
        <w:t xml:space="preserve"> insegnanti per prevenire il fenomeno della dispersione scolastica, cogliere indicatori che possono preludere a situazioni a rischio e intervenire tempestivamente e adeguatamente in caso si manifestino segnali di allarme.</w:t>
      </w:r>
    </w:p>
    <w:p w:rsidR="002F21B3" w:rsidRDefault="002F21B3">
      <w:pPr>
        <w:pStyle w:val="Corpotesto"/>
        <w:spacing w:before="10"/>
        <w:jc w:val="left"/>
        <w:rPr>
          <w:sz w:val="21"/>
        </w:rPr>
      </w:pPr>
    </w:p>
    <w:p w:rsidR="002F21B3" w:rsidRDefault="001A7A18">
      <w:pPr>
        <w:pStyle w:val="Titolo1"/>
        <w:pBdr>
          <w:bottom w:val="single" w:sz="4" w:space="1" w:color="000000"/>
        </w:pBdr>
        <w:spacing w:before="1"/>
        <w:jc w:val="both"/>
      </w:pPr>
      <w:r>
        <w:t>MET</w:t>
      </w:r>
      <w:r>
        <w:t>ODOLOGIA</w:t>
      </w:r>
    </w:p>
    <w:p w:rsidR="002F21B3" w:rsidRDefault="001A7A18">
      <w:pPr>
        <w:pStyle w:val="Corpotesto"/>
        <w:ind w:left="112" w:right="110"/>
      </w:pPr>
      <w:r>
        <w:rPr>
          <w:i/>
        </w:rPr>
        <w:t xml:space="preserve">L’apprendimento efficace </w:t>
      </w:r>
      <w:r>
        <w:t>si rende possibile nel momento in cui la persona è coinvolta con tutta sé stessa nell’interazione con l’oggetto di conoscenza. La fase adolescenziale è oltretutto un momento di vita in cui la dimensione della sperimentazio</w:t>
      </w:r>
      <w:r>
        <w:t xml:space="preserve">ne è un fondamentale compito di sviluppo. Gli argomenti che verranno affrontati saranno quindi riproposti attraverso una modalità altamente esperienziale: il </w:t>
      </w:r>
      <w:r>
        <w:rPr>
          <w:i/>
        </w:rPr>
        <w:t xml:space="preserve">contenuto </w:t>
      </w:r>
      <w:r>
        <w:t xml:space="preserve">illustrato e il </w:t>
      </w:r>
      <w:r>
        <w:rPr>
          <w:i/>
        </w:rPr>
        <w:t xml:space="preserve">processo </w:t>
      </w:r>
      <w:r>
        <w:t>di apprendimento sono così coerenti e la loro efficacia è reale</w:t>
      </w:r>
      <w:r>
        <w:t xml:space="preserve"> e potente.</w:t>
      </w:r>
    </w:p>
    <w:p w:rsidR="002F21B3" w:rsidRDefault="001A7A18">
      <w:pPr>
        <w:pStyle w:val="Corpotesto"/>
        <w:spacing w:before="1"/>
        <w:ind w:left="112" w:right="109"/>
      </w:pPr>
      <w:r>
        <w:t xml:space="preserve">Il percorso utilizza quindi una metodologia attiva detta </w:t>
      </w:r>
      <w:r>
        <w:rPr>
          <w:i/>
        </w:rPr>
        <w:t>learning-by-</w:t>
      </w:r>
      <w:proofErr w:type="spellStart"/>
      <w:r>
        <w:rPr>
          <w:i/>
        </w:rPr>
        <w:t>doing</w:t>
      </w:r>
      <w:proofErr w:type="spellEnd"/>
      <w:r>
        <w:rPr>
          <w:i/>
        </w:rPr>
        <w:t xml:space="preserve">, </w:t>
      </w:r>
      <w:r>
        <w:t xml:space="preserve">di coinvolgimento in prima persona dei partecipanti, di confronto su esperienze reali e concrete. Ognuno sarà libero di condividere quello che desidera della propria </w:t>
      </w:r>
      <w:r>
        <w:t>esperienza all’interno di uno spazio di riservatezza e accoglienza.</w:t>
      </w:r>
    </w:p>
    <w:p w:rsidR="002F21B3" w:rsidRDefault="001A7A18">
      <w:pPr>
        <w:pStyle w:val="Corpotesto"/>
        <w:ind w:left="112" w:right="111"/>
      </w:pPr>
      <w:r>
        <w:t>Il percorso avrà un discreto livello di approfondimento. Verranno affrontati aspetti teorici e pratici e verranno offerti strumenti e consapevolezze per saper riconoscere le fragilità e at</w:t>
      </w:r>
      <w:r>
        <w:t>tivare le risorse in quanto adulto di riferimento.</w:t>
      </w:r>
    </w:p>
    <w:p w:rsidR="002F21B3" w:rsidRDefault="002F21B3">
      <w:pPr>
        <w:pStyle w:val="Corpotesto"/>
        <w:spacing w:before="4"/>
        <w:jc w:val="left"/>
        <w:rPr>
          <w:sz w:val="29"/>
        </w:rPr>
      </w:pPr>
    </w:p>
    <w:p w:rsidR="002F21B3" w:rsidRDefault="002F21B3">
      <w:pPr>
        <w:tabs>
          <w:tab w:val="left" w:pos="4420"/>
        </w:tabs>
        <w:rPr>
          <w:sz w:val="24"/>
        </w:rPr>
      </w:pPr>
    </w:p>
    <w:sectPr w:rsidR="002F21B3">
      <w:headerReference w:type="default" r:id="rId6"/>
      <w:footerReference w:type="default" r:id="rId7"/>
      <w:pgSz w:w="11906" w:h="16838"/>
      <w:pgMar w:top="483" w:right="1020" w:bottom="522" w:left="1020" w:header="426" w:footer="465"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1A7A18">
      <w:r>
        <w:separator/>
      </w:r>
    </w:p>
  </w:endnote>
  <w:endnote w:type="continuationSeparator" w:id="0">
    <w:p w:rsidR="00000000" w:rsidRDefault="001A7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1B3" w:rsidRDefault="001A7A18">
    <w:pPr>
      <w:spacing w:before="52"/>
      <w:ind w:left="2694" w:right="1872" w:hanging="690"/>
      <w:jc w:val="center"/>
      <w:rPr>
        <w:i/>
        <w:sz w:val="24"/>
        <w:lang w:val="en-GB"/>
      </w:rPr>
    </w:pPr>
    <w:r>
      <w:rPr>
        <w:i/>
        <w:sz w:val="19"/>
        <w:lang w:val="en-GB"/>
      </w:rPr>
      <w:t>MAIL</w:t>
    </w:r>
    <w:r>
      <w:rPr>
        <w:i/>
        <w:sz w:val="24"/>
        <w:lang w:val="en-GB"/>
      </w:rPr>
      <w:t xml:space="preserve">: </w:t>
    </w:r>
    <w:hyperlink r:id="rId1">
      <w:r>
        <w:rPr>
          <w:i/>
          <w:sz w:val="19"/>
          <w:lang w:val="en-GB"/>
        </w:rPr>
        <w:t>ALESSANDRO</w:t>
      </w:r>
      <w:r>
        <w:rPr>
          <w:i/>
          <w:sz w:val="24"/>
          <w:lang w:val="en-GB"/>
        </w:rPr>
        <w:t>.</w:t>
      </w:r>
      <w:r>
        <w:rPr>
          <w:i/>
          <w:sz w:val="19"/>
          <w:lang w:val="en-GB"/>
        </w:rPr>
        <w:t>GARUGLIERI</w:t>
      </w:r>
      <w:r>
        <w:rPr>
          <w:i/>
          <w:sz w:val="24"/>
          <w:lang w:val="en-GB"/>
        </w:rPr>
        <w:t>@</w:t>
      </w:r>
      <w:r>
        <w:rPr>
          <w:i/>
          <w:sz w:val="19"/>
          <w:lang w:val="en-GB"/>
        </w:rPr>
        <w:t>GMAIL</w:t>
      </w:r>
      <w:r>
        <w:rPr>
          <w:i/>
          <w:sz w:val="24"/>
          <w:lang w:val="en-GB"/>
        </w:rPr>
        <w:t>.</w:t>
      </w:r>
      <w:r>
        <w:rPr>
          <w:i/>
          <w:sz w:val="19"/>
          <w:lang w:val="en-GB"/>
        </w:rPr>
        <w:t xml:space="preserve">COM </w:t>
      </w:r>
    </w:hyperlink>
    <w:r>
      <w:rPr>
        <w:i/>
        <w:sz w:val="24"/>
        <w:lang w:val="en-GB"/>
      </w:rPr>
      <w:t xml:space="preserve">– </w:t>
    </w:r>
    <w:r>
      <w:rPr>
        <w:i/>
        <w:sz w:val="19"/>
        <w:lang w:val="en-GB"/>
      </w:rPr>
      <w:t>TEL</w:t>
    </w:r>
    <w:r>
      <w:rPr>
        <w:i/>
        <w:sz w:val="24"/>
        <w:lang w:val="en-GB"/>
      </w:rPr>
      <w:t>: 3295757363</w:t>
    </w:r>
  </w:p>
  <w:p w:rsidR="002F21B3" w:rsidRDefault="001A7A18">
    <w:pPr>
      <w:spacing w:before="52"/>
      <w:ind w:left="2694" w:right="1872" w:hanging="690"/>
      <w:jc w:val="center"/>
      <w:rPr>
        <w:i/>
        <w:sz w:val="28"/>
        <w:szCs w:val="24"/>
      </w:rPr>
    </w:pPr>
    <w:proofErr w:type="spellStart"/>
    <w:r>
      <w:rPr>
        <w:i/>
        <w:smallCaps/>
        <w:szCs w:val="28"/>
      </w:rPr>
      <w:t>ViaFra</w:t>
    </w:r>
    <w:proofErr w:type="spellEnd"/>
    <w:r>
      <w:rPr>
        <w:i/>
        <w:smallCaps/>
        <w:szCs w:val="28"/>
      </w:rPr>
      <w:t xml:space="preserve">’ </w:t>
    </w:r>
    <w:proofErr w:type="spellStart"/>
    <w:r>
      <w:rPr>
        <w:i/>
        <w:smallCaps/>
        <w:szCs w:val="28"/>
      </w:rPr>
      <w:t>Bartolommeo</w:t>
    </w:r>
    <w:proofErr w:type="spellEnd"/>
    <w:r>
      <w:rPr>
        <w:i/>
        <w:smallCaps/>
        <w:szCs w:val="28"/>
      </w:rPr>
      <w:t xml:space="preserve"> 29</w:t>
    </w:r>
    <w:r>
      <w:rPr>
        <w:i/>
        <w:smallCaps/>
        <w:sz w:val="28"/>
        <w:szCs w:val="24"/>
      </w:rPr>
      <w:t xml:space="preserve">, </w:t>
    </w:r>
    <w:r>
      <w:rPr>
        <w:i/>
        <w:smallCaps/>
        <w:szCs w:val="20"/>
      </w:rPr>
      <w:t>Firenze</w:t>
    </w:r>
    <w:r>
      <w:rPr>
        <w:i/>
        <w:sz w:val="28"/>
        <w:szCs w:val="24"/>
      </w:rPr>
      <w:t xml:space="preserve">- </w:t>
    </w:r>
    <w:r>
      <w:rPr>
        <w:i/>
        <w:szCs w:val="20"/>
      </w:rPr>
      <w:t>P.I. 06301930480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1A7A18">
      <w:r>
        <w:separator/>
      </w:r>
    </w:p>
  </w:footnote>
  <w:footnote w:type="continuationSeparator" w:id="0">
    <w:p w:rsidR="00000000" w:rsidRDefault="001A7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1B3" w:rsidRDefault="001A7A18">
    <w:pPr>
      <w:spacing w:before="111"/>
      <w:ind w:left="509" w:right="511"/>
      <w:jc w:val="center"/>
      <w:rPr>
        <w:i/>
        <w:sz w:val="26"/>
      </w:rPr>
    </w:pPr>
    <w:r>
      <w:rPr>
        <w:noProof/>
      </w:rPr>
      <w:drawing>
        <wp:anchor distT="0" distB="0" distL="0" distR="0" simplePos="0" relativeHeight="2" behindDoc="1" locked="0" layoutInCell="0" allowOverlap="1">
          <wp:simplePos x="0" y="0"/>
          <wp:positionH relativeFrom="page">
            <wp:posOffset>6124575</wp:posOffset>
          </wp:positionH>
          <wp:positionV relativeFrom="paragraph">
            <wp:posOffset>-5080</wp:posOffset>
          </wp:positionV>
          <wp:extent cx="581025" cy="58102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noChangeArrowheads="1"/>
                  </pic:cNvPicPr>
                </pic:nvPicPr>
                <pic:blipFill>
                  <a:blip r:embed="rId1"/>
                  <a:stretch>
                    <a:fillRect/>
                  </a:stretch>
                </pic:blipFill>
                <pic:spPr bwMode="auto">
                  <a:xfrm>
                    <a:off x="0" y="0"/>
                    <a:ext cx="581025" cy="581025"/>
                  </a:xfrm>
                  <a:prstGeom prst="rect">
                    <a:avLst/>
                  </a:prstGeom>
                </pic:spPr>
              </pic:pic>
            </a:graphicData>
          </a:graphic>
        </wp:anchor>
      </w:drawing>
    </w:r>
    <w:r>
      <w:rPr>
        <w:i/>
        <w:sz w:val="32"/>
      </w:rPr>
      <w:t>D</w:t>
    </w:r>
    <w:r>
      <w:rPr>
        <w:i/>
        <w:sz w:val="26"/>
      </w:rPr>
      <w:t>OTT</w:t>
    </w:r>
    <w:r>
      <w:rPr>
        <w:i/>
        <w:sz w:val="32"/>
      </w:rPr>
      <w:t>. A</w:t>
    </w:r>
    <w:r>
      <w:rPr>
        <w:i/>
        <w:sz w:val="26"/>
      </w:rPr>
      <w:t xml:space="preserve">LESSANDRO </w:t>
    </w:r>
    <w:r>
      <w:rPr>
        <w:i/>
        <w:sz w:val="32"/>
      </w:rPr>
      <w:t>G</w:t>
    </w:r>
    <w:r>
      <w:rPr>
        <w:i/>
        <w:sz w:val="26"/>
      </w:rPr>
      <w:t>ARUGLIERI</w:t>
    </w:r>
  </w:p>
  <w:p w:rsidR="002F21B3" w:rsidRDefault="001A7A18">
    <w:pPr>
      <w:spacing w:before="2" w:line="293" w:lineRule="exact"/>
      <w:ind w:left="509" w:right="510"/>
      <w:jc w:val="center"/>
      <w:rPr>
        <w:i/>
        <w:sz w:val="19"/>
      </w:rPr>
    </w:pPr>
    <w:r>
      <w:rPr>
        <w:i/>
        <w:sz w:val="24"/>
      </w:rPr>
      <w:t>P</w:t>
    </w:r>
    <w:r>
      <w:rPr>
        <w:i/>
        <w:sz w:val="19"/>
      </w:rPr>
      <w:t>SICOLOGO</w:t>
    </w:r>
  </w:p>
  <w:p w:rsidR="002F21B3" w:rsidRDefault="001A7A18">
    <w:pPr>
      <w:spacing w:line="244" w:lineRule="exact"/>
      <w:ind w:left="509" w:right="509"/>
      <w:jc w:val="center"/>
      <w:rPr>
        <w:i/>
        <w:sz w:val="20"/>
      </w:rPr>
    </w:pPr>
    <w:r>
      <w:rPr>
        <w:i/>
        <w:sz w:val="20"/>
      </w:rPr>
      <w:t>I</w:t>
    </w:r>
    <w:r>
      <w:rPr>
        <w:i/>
        <w:sz w:val="16"/>
      </w:rPr>
      <w:t>SCRITTO ALL</w:t>
    </w:r>
    <w:r>
      <w:rPr>
        <w:i/>
        <w:sz w:val="20"/>
      </w:rPr>
      <w:t>’A</w:t>
    </w:r>
    <w:r>
      <w:rPr>
        <w:i/>
        <w:sz w:val="16"/>
      </w:rPr>
      <w:t xml:space="preserve">LBO DELLA </w:t>
    </w:r>
    <w:r>
      <w:rPr>
        <w:i/>
        <w:sz w:val="20"/>
      </w:rPr>
      <w:t>R</w:t>
    </w:r>
    <w:r>
      <w:rPr>
        <w:i/>
        <w:sz w:val="16"/>
      </w:rPr>
      <w:t xml:space="preserve">EGIONE </w:t>
    </w:r>
    <w:r>
      <w:rPr>
        <w:i/>
        <w:sz w:val="20"/>
      </w:rPr>
      <w:t>T</w:t>
    </w:r>
    <w:r>
      <w:rPr>
        <w:i/>
        <w:sz w:val="16"/>
      </w:rPr>
      <w:t>OSCANA N</w:t>
    </w:r>
    <w:r>
      <w:rPr>
        <w:i/>
        <w:sz w:val="20"/>
      </w:rPr>
      <w:t>. 6572</w:t>
    </w:r>
  </w:p>
  <w:p w:rsidR="002F21B3" w:rsidRDefault="002F21B3">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1B3"/>
    <w:rsid w:val="001A7A18"/>
    <w:rsid w:val="002F21B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9A6CFA-F1AB-48CF-9963-F8772ED7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E5EE5"/>
    <w:pPr>
      <w:widowControl w:val="0"/>
    </w:pPr>
    <w:rPr>
      <w:rFonts w:cs="Calibri"/>
      <w:lang w:val="it-IT" w:eastAsia="it-IT" w:bidi="it-IT"/>
    </w:rPr>
  </w:style>
  <w:style w:type="paragraph" w:styleId="Titolo1">
    <w:name w:val="heading 1"/>
    <w:basedOn w:val="Normale"/>
    <w:uiPriority w:val="9"/>
    <w:qFormat/>
    <w:rsid w:val="007E5EE5"/>
    <w:pPr>
      <w:ind w:left="112"/>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5362B5"/>
    <w:rPr>
      <w:rFonts w:ascii="Calibri" w:eastAsia="Calibri" w:hAnsi="Calibri" w:cs="Calibri"/>
      <w:lang w:val="it-IT" w:eastAsia="it-IT" w:bidi="it-IT"/>
    </w:rPr>
  </w:style>
  <w:style w:type="character" w:customStyle="1" w:styleId="PidipaginaCarattere">
    <w:name w:val="Piè di pagina Carattere"/>
    <w:basedOn w:val="Carpredefinitoparagrafo"/>
    <w:link w:val="Pidipagina"/>
    <w:uiPriority w:val="99"/>
    <w:qFormat/>
    <w:rsid w:val="005362B5"/>
    <w:rPr>
      <w:rFonts w:ascii="Calibri" w:eastAsia="Calibri" w:hAnsi="Calibri" w:cs="Calibri"/>
      <w:lang w:val="it-IT" w:eastAsia="it-IT" w:bidi="it-IT"/>
    </w:rPr>
  </w:style>
  <w:style w:type="character" w:customStyle="1" w:styleId="CorpotestoCarattere">
    <w:name w:val="Corpo testo Carattere"/>
    <w:basedOn w:val="Carpredefinitoparagrafo"/>
    <w:link w:val="Corpotesto"/>
    <w:uiPriority w:val="1"/>
    <w:qFormat/>
    <w:rsid w:val="00544D26"/>
    <w:rPr>
      <w:rFonts w:ascii="Calibri" w:eastAsia="Calibri" w:hAnsi="Calibri" w:cs="Calibri"/>
      <w:lang w:val="it-IT" w:eastAsia="it-IT" w:bidi="it-IT"/>
    </w:rPr>
  </w:style>
  <w:style w:type="character" w:customStyle="1" w:styleId="CollegamentoInternet">
    <w:name w:val="Collegamento Internet"/>
    <w:rPr>
      <w:color w:val="000080"/>
      <w:u w:val="single"/>
      <w:lang/>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1"/>
    <w:qFormat/>
    <w:rsid w:val="007E5EE5"/>
    <w:pPr>
      <w:jc w:val="both"/>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uiPriority w:val="1"/>
    <w:qFormat/>
    <w:rsid w:val="007E5EE5"/>
    <w:pPr>
      <w:spacing w:before="183"/>
      <w:ind w:left="273" w:hanging="230"/>
      <w:jc w:val="both"/>
    </w:pPr>
  </w:style>
  <w:style w:type="paragraph" w:customStyle="1" w:styleId="TableParagraph">
    <w:name w:val="Table Paragraph"/>
    <w:basedOn w:val="Normale"/>
    <w:uiPriority w:val="1"/>
    <w:qFormat/>
    <w:rsid w:val="007E5EE5"/>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5362B5"/>
    <w:pPr>
      <w:tabs>
        <w:tab w:val="center" w:pos="4819"/>
        <w:tab w:val="right" w:pos="9638"/>
      </w:tabs>
    </w:pPr>
  </w:style>
  <w:style w:type="paragraph" w:styleId="Pidipagina">
    <w:name w:val="footer"/>
    <w:basedOn w:val="Normale"/>
    <w:link w:val="PidipaginaCarattere"/>
    <w:uiPriority w:val="99"/>
    <w:unhideWhenUsed/>
    <w:rsid w:val="005362B5"/>
    <w:pPr>
      <w:tabs>
        <w:tab w:val="center" w:pos="4819"/>
        <w:tab w:val="right" w:pos="9638"/>
      </w:tabs>
    </w:pPr>
  </w:style>
  <w:style w:type="table" w:customStyle="1" w:styleId="TableNormal">
    <w:name w:val="Table Normal"/>
    <w:uiPriority w:val="2"/>
    <w:semiHidden/>
    <w:unhideWhenUsed/>
    <w:qFormat/>
    <w:rsid w:val="007E5EE5"/>
    <w:tblPr>
      <w:tblCellMar>
        <w:top w:w="0" w:type="dxa"/>
        <w:left w:w="0" w:type="dxa"/>
        <w:bottom w:w="0" w:type="dxa"/>
        <w:right w:w="0" w:type="dxa"/>
      </w:tblCellMar>
    </w:tblPr>
  </w:style>
  <w:style w:type="table" w:styleId="Grigliatabella">
    <w:name w:val="Table Grid"/>
    <w:basedOn w:val="Tabellanormale"/>
    <w:uiPriority w:val="39"/>
    <w:rsid w:val="00536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ALESSANDRO.GARUGLIERI@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493</Words>
  <Characters>2814</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Garuglieri</dc:creator>
  <dc:description/>
  <cp:lastModifiedBy>Cordasco Alessia</cp:lastModifiedBy>
  <cp:revision>2</cp:revision>
  <cp:lastPrinted>2021-01-21T09:29:00Z</cp:lastPrinted>
  <dcterms:created xsi:type="dcterms:W3CDTF">2022-02-17T12:31:00Z</dcterms:created>
  <dcterms:modified xsi:type="dcterms:W3CDTF">2022-02-17T12:31:00Z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2019-02-07T00:00:00Z</vt:filetime>
  </property>
  <property fmtid="{D5CDD505-2E9C-101B-9397-08002B2CF9AE}" pid="4" name="Creator">
    <vt:lpwstr>Microsoft® Word 2013</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2019-10-13T00:00:00Z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