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2205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848475" cy="1428750"/>
            <wp:effectExtent l="0" t="0" r="0" b="0"/>
            <wp:wrapSquare wrapText="bothSides"/>
            <wp:docPr id="1" name="Immagine 90" descr="Intestaz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90" descr="Intestazion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2205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 Light"/>
          <w:sz w:val="20"/>
          <w:szCs w:val="20"/>
        </w:rPr>
        <w:t xml:space="preserve">Allegato </w:t>
      </w:r>
      <w:r>
        <w:rPr>
          <w:rFonts w:cs="Calibri Light"/>
          <w:sz w:val="20"/>
          <w:szCs w:val="20"/>
        </w:rPr>
        <w:t>D</w:t>
      </w:r>
      <w:r>
        <w:rPr>
          <w:rFonts w:cs="Calibri Light"/>
          <w:sz w:val="20"/>
          <w:szCs w:val="20"/>
        </w:rPr>
        <w:t xml:space="preserve"> al Documento del 15 maggio</w:t>
      </w:r>
    </w:p>
    <w:p>
      <w:pPr>
        <w:pStyle w:val="Normal"/>
        <w:jc w:val="center"/>
        <w:rPr>
          <w:rFonts w:cs="Calibri Light"/>
          <w:b/>
          <w:b/>
          <w:sz w:val="20"/>
          <w:szCs w:val="20"/>
        </w:rPr>
      </w:pPr>
      <w:r>
        <w:rPr>
          <w:rFonts w:cs="Calibri Light"/>
          <w:b/>
          <w:sz w:val="20"/>
          <w:szCs w:val="20"/>
        </w:rPr>
      </w:r>
    </w:p>
    <w:p>
      <w:pPr>
        <w:pStyle w:val="Normal"/>
        <w:rPr>
          <w:rFonts w:cs="Calibri Light"/>
          <w:b/>
          <w:b/>
          <w:sz w:val="20"/>
          <w:szCs w:val="20"/>
        </w:rPr>
      </w:pPr>
      <w:r>
        <w:rPr>
          <w:rFonts w:cs="Calibri Light"/>
          <w:b/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rFonts w:cs="Calibri Light"/>
          <w:b/>
          <w:sz w:val="20"/>
          <w:szCs w:val="20"/>
        </w:rPr>
        <w:t>Esami di Stato A.S. 2023/2024</w:t>
      </w:r>
    </w:p>
    <w:p>
      <w:pPr>
        <w:pStyle w:val="Normal"/>
        <w:jc w:val="center"/>
        <w:rPr>
          <w:rFonts w:cs="Calibri Light"/>
          <w:b/>
          <w:b/>
          <w:sz w:val="20"/>
          <w:szCs w:val="20"/>
        </w:rPr>
      </w:pPr>
      <w:r>
        <w:rPr>
          <w:rFonts w:cs="Calibri Light"/>
          <w:b/>
          <w:sz w:val="20"/>
          <w:szCs w:val="20"/>
        </w:rPr>
      </w:r>
    </w:p>
    <w:p>
      <w:pPr>
        <w:pStyle w:val="Normal"/>
        <w:jc w:val="center"/>
        <w:rPr>
          <w:rFonts w:cs="Calibri Light"/>
          <w:b/>
          <w:b/>
          <w:sz w:val="20"/>
          <w:szCs w:val="20"/>
        </w:rPr>
      </w:pPr>
      <w:r>
        <w:rPr>
          <w:rFonts w:cs="Calibri Light"/>
          <w:b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 Light"/>
          <w:b/>
          <w:sz w:val="20"/>
          <w:szCs w:val="20"/>
        </w:rPr>
        <w:t xml:space="preserve">CLASSE QUINTA L INDIRIZZO INTERNAZIONALE LINGUISTICO </w:t>
      </w:r>
    </w:p>
    <w:p>
      <w:pPr>
        <w:pStyle w:val="Normal"/>
        <w:rPr>
          <w:rFonts w:cs="Calibri Light"/>
          <w:b/>
          <w:b/>
          <w:sz w:val="20"/>
          <w:szCs w:val="20"/>
        </w:rPr>
      </w:pPr>
      <w:r>
        <w:rPr>
          <w:rFonts w:cs="Calibri Light"/>
          <w:b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 Light"/>
          <w:iCs/>
          <w:sz w:val="20"/>
          <w:szCs w:val="20"/>
        </w:rPr>
        <w:t xml:space="preserve">UNITA’ DI APPRENDIMENTO DI EDUCAZIONE CIVICA: </w:t>
      </w:r>
      <w:r>
        <w:rPr>
          <w:rFonts w:cs="Calibri Light"/>
          <w:iCs/>
          <w:color w:val="000000"/>
          <w:sz w:val="20"/>
          <w:szCs w:val="20"/>
        </w:rPr>
        <w:t>Il confronto con l’Altro e con il mondo extraeuropeo nel mondo moderno e contemporaneo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 Light"/>
          <w:iCs/>
          <w:sz w:val="20"/>
          <w:szCs w:val="20"/>
        </w:rPr>
        <w:t>Docente referente di classe per l’E.C.: CECILIA DE MEO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rFonts w:cs="Calibri Light"/>
          <w:iCs/>
          <w:sz w:val="20"/>
          <w:szCs w:val="20"/>
        </w:rPr>
      </w:pPr>
      <w:r>
        <w:rPr>
          <w:rFonts w:cs="Calibri Light"/>
          <w:iCs/>
          <w:sz w:val="20"/>
          <w:szCs w:val="20"/>
        </w:rPr>
      </w:r>
    </w:p>
    <w:p>
      <w:pPr>
        <w:pStyle w:val="Normal"/>
        <w:jc w:val="both"/>
        <w:rPr>
          <w:rFonts w:cs="Calibri Light"/>
          <w:b/>
          <w:b/>
          <w:bCs/>
          <w:sz w:val="20"/>
          <w:szCs w:val="20"/>
        </w:rPr>
      </w:pPr>
      <w:r>
        <w:rPr>
          <w:rFonts w:cs="Calibri Light"/>
          <w:b/>
          <w:bCs/>
          <w:sz w:val="20"/>
          <w:szCs w:val="20"/>
        </w:rPr>
        <w:t xml:space="preserve">1. Obiettivi specifici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0"/>
          <w:szCs w:val="20"/>
        </w:rPr>
        <w:t xml:space="preserve">L’UDA di EC intende far riflettere i ragazzi sulla problematica del </w:t>
      </w:r>
      <w:r>
        <w:rPr>
          <w:rFonts w:cs="Calibri Light"/>
          <w:b w:val="false"/>
          <w:bCs w:val="false"/>
          <w:iCs/>
          <w:color w:val="000000"/>
          <w:sz w:val="20"/>
          <w:szCs w:val="20"/>
        </w:rPr>
        <w:t>confronto con l’Altro e con il mondo extraeuropeo nel mondo moderno e contemporaneo</w:t>
      </w:r>
      <w:r>
        <w:rPr>
          <w:b w:val="false"/>
          <w:bCs w:val="false"/>
          <w:sz w:val="20"/>
          <w:szCs w:val="20"/>
        </w:rPr>
        <w:t xml:space="preserve">.  La tematica è stata affrontata in modo interdisciplinare. </w:t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Web"/>
        <w:numPr>
          <w:ilvl w:val="0"/>
          <w:numId w:val="1"/>
        </w:numPr>
        <w:spacing w:before="280" w:after="0"/>
        <w:rPr>
          <w:rFonts w:ascii="Century Gothic" w:hAnsi="Century Gothic"/>
        </w:rPr>
      </w:pPr>
      <w:r>
        <w:rPr>
          <w:rFonts w:ascii="Century Gothic" w:hAnsi="Century Gothic"/>
          <w:b/>
          <w:bCs/>
          <w:sz w:val="20"/>
          <w:szCs w:val="20"/>
        </w:rPr>
        <w:t>In termini di competenze</w:t>
      </w:r>
      <w:r>
        <w:rPr>
          <w:rFonts w:ascii="Century Gothic" w:hAnsi="Century Gothic"/>
          <w:b w:val="false"/>
          <w:bCs w:val="false"/>
          <w:sz w:val="20"/>
          <w:szCs w:val="20"/>
        </w:rPr>
        <w:t>: i ragazzi e le ragazze di quinta sanno individuare i principali fenomeni discriminatori e di sfruttamento manifestatesi fra ‘800 e ‘900  nei rapporti tra potenze europee ed extraeuropee e ne sanno individuare le origini in termini storici e sociologici; sono in grado di individuare e riconoscere   i comportamenti, gli atteggiamenti, i linguaggi discriminatori; sono in grado di riconoscere l’importanza delle scoperte scientifiche nei conflitti contemporanei e l’influenza</w:t>
      </w:r>
      <w:r>
        <w:rPr>
          <w:rFonts w:ascii="Century Gothic" w:hAnsi="Century Gothic"/>
          <w:b w:val="false"/>
          <w:bCs w:val="false"/>
          <w:color w:val="000000"/>
          <w:sz w:val="20"/>
          <w:szCs w:val="20"/>
        </w:rPr>
        <w:t xml:space="preserve"> dell’Arte extraeuropea nel processo creativo degli artisti occidentali dalla fine dell’ ‘800 alle Avanguardie storiche. R</w:t>
      </w:r>
      <w:r>
        <w:rPr>
          <w:rFonts w:ascii="Century Gothic" w:hAnsi="Century Gothic"/>
          <w:b w:val="false"/>
          <w:bCs w:val="false"/>
          <w:sz w:val="20"/>
          <w:szCs w:val="20"/>
        </w:rPr>
        <w:t>iescono a sostenere un dibattito sulla tematica affrontata rispettando la pluralità dei punti di vista. Hanno assunto consapevolezza dell’attualità della riflessione sviluppata e sono in grado di evidenziare i cambiamenti maturati durante il percorso formativo.</w:t>
      </w:r>
    </w:p>
    <w:p>
      <w:pPr>
        <w:pStyle w:val="ListParagraph"/>
        <w:numPr>
          <w:ilvl w:val="0"/>
          <w:numId w:val="2"/>
        </w:numPr>
        <w:spacing w:lineRule="auto" w:line="240"/>
        <w:ind w:left="357" w:hanging="35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In termini di abilità</w:t>
      </w:r>
      <w:r>
        <w:rPr>
          <w:rFonts w:ascii="Century Gothic" w:hAnsi="Century Gothic"/>
          <w:b w:val="false"/>
          <w:bCs w:val="false"/>
          <w:sz w:val="20"/>
          <w:szCs w:val="20"/>
        </w:rPr>
        <w:t>: per ciò che concerne le abilità sanno declinare la tematica nelle varie discipline e sanno utilizzare un linguaggio adeguato. Sono in grado di individuare in se stessi punti di partenza e di arrivo del proprio percorso di formazione e hanno maturato comportamenti responsabili nei confronti delle differenze, mettendo in crisi il punto di vista eurocentrico-occidentale.</w:t>
      </w:r>
    </w:p>
    <w:p>
      <w:pPr>
        <w:pStyle w:val="ListParagraph"/>
        <w:numPr>
          <w:ilvl w:val="0"/>
          <w:numId w:val="2"/>
        </w:numPr>
        <w:spacing w:lineRule="auto" w:line="240"/>
        <w:ind w:left="357" w:hanging="357"/>
        <w:rPr>
          <w:rFonts w:ascii="Century Gothic" w:hAnsi="Century Gothic"/>
          <w:sz w:val="20"/>
          <w:szCs w:val="20"/>
        </w:rPr>
      </w:pPr>
      <w:r>
        <w:rPr>
          <w:rFonts w:cs="Calibri Light" w:ascii="Century Gothic" w:hAnsi="Century Gothic"/>
          <w:b/>
          <w:sz w:val="20"/>
          <w:szCs w:val="20"/>
        </w:rPr>
        <w:t>In termini di conoscenze</w:t>
      </w:r>
      <w:r>
        <w:rPr>
          <w:b w:val="false"/>
          <w:bCs w:val="false"/>
        </w:rPr>
        <w:t xml:space="preserve"> </w:t>
      </w:r>
      <w:r>
        <w:rPr>
          <w:rFonts w:ascii="Century Gothic" w:hAnsi="Century Gothic"/>
          <w:b w:val="false"/>
          <w:bCs w:val="false"/>
          <w:sz w:val="20"/>
          <w:szCs w:val="20"/>
        </w:rPr>
        <w:t>conoscono le tappe salienti del fenomeno del colonialismo e del processo di  decolonizzazione. Individuano dei momenti centrali nella storia europea in cui il confronto  con l’Altro extraeuropeo ha dato origine a conflitti, fenomeni di sfruttamento e di violazione dei diritti umani.</w:t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rFonts w:cs="Calibri Light"/>
          <w:b/>
          <w:b/>
          <w:bCs/>
          <w:sz w:val="20"/>
          <w:szCs w:val="20"/>
        </w:rPr>
      </w:pPr>
      <w:r>
        <w:rPr>
          <w:rFonts w:cs="Calibri Light"/>
          <w:b/>
          <w:bCs/>
          <w:sz w:val="20"/>
          <w:szCs w:val="20"/>
        </w:rPr>
        <w:t xml:space="preserve">2. Contenuti e tempi del percorso formativo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a0"/>
        <w:tblW w:w="986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070"/>
        <w:gridCol w:w="3048"/>
        <w:gridCol w:w="3748"/>
      </w:tblGrid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0AD47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Discipline coinvolte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0AD47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Argomenti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0AD47" w:val="clear"/>
          </w:tcPr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Tempi/ore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ITALIANO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Visione di uno o più film inerenti all’argomento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ore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 quadrimestre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LATINO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 concezione del diverso nel mondo romano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 quadrimestre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ore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STORIA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 decolonizzazione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 quadrimestre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ore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FILOSOFIA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 problema del lavoro degli immigrati nel settore agricolo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quadrimestre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ore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MATEMATICA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 ruolo dell’energia nucleare nei conflitti contemporanei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quadrimestre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ore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STORIA DELL’ARTE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 ruolo dell’Arte extraeuropea nel processo creativo degli artisti occidentali dalla fine dell’ ‘800 alle Avanguardie storiche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quadrimestre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 ore</w:t>
            </w:r>
          </w:p>
        </w:tc>
      </w:tr>
      <w:tr>
        <w:trPr/>
        <w:tc>
          <w:tcPr>
            <w:tcW w:w="3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SCIENZE NATURALI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Estrazione e sfruttamento delle risorse minerarie e conflitti: litio, coltan, nichel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quadrimestre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  ore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FRANCESE, CONV. FRANCESE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Costruire la vita in epoca di morte: un’antologia di testi francesi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 quadrimestre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ore 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INGLESE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Imperialismo britannico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 quadrimestre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ore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SPAGNOLO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Conflitti e guerre civili in America Latina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 quadrimestre</w:t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ore</w:t>
            </w:r>
          </w:p>
        </w:tc>
      </w:tr>
      <w:tr>
        <w:trPr/>
        <w:tc>
          <w:tcPr>
            <w:tcW w:w="3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0" w:after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TOTALE 3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 xml:space="preserve"> ore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jc w:val="both"/>
        <w:rPr>
          <w:rFonts w:eastAsia="Albany AMT" w:cs="Book Antiqua"/>
          <w:sz w:val="20"/>
          <w:szCs w:val="20"/>
        </w:rPr>
      </w:pPr>
      <w:r>
        <w:rPr>
          <w:rFonts w:eastAsia="Albany AMT" w:cs="Book Antiqua"/>
          <w:sz w:val="20"/>
          <w:szCs w:val="20"/>
        </w:rPr>
      </w:r>
    </w:p>
    <w:p>
      <w:pPr>
        <w:pStyle w:val="Normal"/>
        <w:spacing w:lineRule="atLeast" w:line="200"/>
        <w:jc w:val="both"/>
        <w:rPr>
          <w:rFonts w:cs="Book Antiqua"/>
          <w:sz w:val="20"/>
          <w:szCs w:val="20"/>
        </w:rPr>
      </w:pPr>
      <w:r>
        <w:rPr>
          <w:rFonts w:cs="Book Antiqua"/>
          <w:sz w:val="20"/>
          <w:szCs w:val="20"/>
        </w:rPr>
      </w:r>
    </w:p>
    <w:p>
      <w:pPr>
        <w:pStyle w:val="ListParagraph"/>
        <w:numPr>
          <w:ilvl w:val="0"/>
          <w:numId w:val="4"/>
        </w:numPr>
        <w:rPr>
          <w:rFonts w:ascii="Century Gothic" w:hAnsi="Century Gothic" w:cs="Calibri Light"/>
          <w:b/>
          <w:b/>
          <w:bCs/>
          <w:sz w:val="20"/>
          <w:szCs w:val="20"/>
        </w:rPr>
      </w:pPr>
      <w:r>
        <w:rPr>
          <w:rFonts w:cs="Calibri Light" w:ascii="Century Gothic" w:hAnsi="Century Gothic"/>
          <w:b/>
          <w:bCs/>
          <w:sz w:val="20"/>
          <w:szCs w:val="20"/>
        </w:rPr>
        <w:t>Metodi di insegnamento</w:t>
      </w:r>
    </w:p>
    <w:p>
      <w:pPr>
        <w:pStyle w:val="ListParagraph"/>
        <w:ind w:left="360" w:hanging="0"/>
        <w:rPr>
          <w:rFonts w:ascii="Century Gothic" w:hAnsi="Century Gothic" w:cs="Calibri Light"/>
          <w:b/>
          <w:b/>
          <w:bCs/>
          <w:sz w:val="20"/>
          <w:szCs w:val="20"/>
        </w:rPr>
      </w:pPr>
      <w:r>
        <w:rPr>
          <w:rFonts w:cs="Calibri Light" w:ascii="Century Gothic" w:hAnsi="Century Gothic"/>
          <w:b/>
          <w:bCs/>
          <w:sz w:val="20"/>
          <w:szCs w:val="20"/>
        </w:rPr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rFonts w:cs="Book Antiqua"/>
          <w:b w:val="false"/>
          <w:bCs w:val="false"/>
          <w:sz w:val="20"/>
          <w:szCs w:val="20"/>
        </w:rPr>
        <w:t xml:space="preserve">Lezione frontale, incontri con esperti, debate, ricerche individuali e di gruppo, visione di film e materiale audio-video, performances e flash mob, visite guidate e mostre. </w:t>
      </w:r>
    </w:p>
    <w:p>
      <w:pPr>
        <w:pStyle w:val="Normal"/>
        <w:spacing w:lineRule="auto" w:line="276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</w:r>
    </w:p>
    <w:p>
      <w:pPr>
        <w:pStyle w:val="Normal"/>
        <w:spacing w:lineRule="atLeast" w:line="200"/>
        <w:jc w:val="both"/>
        <w:rPr>
          <w:rFonts w:cs="Book Antiqua"/>
          <w:sz w:val="20"/>
          <w:szCs w:val="20"/>
        </w:rPr>
      </w:pPr>
      <w:r>
        <w:rPr>
          <w:rFonts w:cs="Book Antiqua"/>
          <w:b/>
          <w:sz w:val="20"/>
          <w:szCs w:val="20"/>
        </w:rPr>
        <w:t>4. Metodi e spazi utilizzati</w:t>
      </w:r>
      <w:r>
        <w:rPr>
          <w:rFonts w:cs="Book Antiqua"/>
          <w:sz w:val="20"/>
          <w:szCs w:val="20"/>
        </w:rPr>
        <w:t xml:space="preserve"> </w:t>
      </w:r>
    </w:p>
    <w:p>
      <w:pPr>
        <w:pStyle w:val="Normal"/>
        <w:spacing w:lineRule="atLeast" w:line="200"/>
        <w:jc w:val="both"/>
        <w:rPr>
          <w:rFonts w:cs="Book Antiqua"/>
          <w:sz w:val="20"/>
          <w:szCs w:val="20"/>
        </w:rPr>
      </w:pPr>
      <w:r>
        <w:rPr>
          <w:rFonts w:cs="Book Antiqua"/>
          <w:sz w:val="20"/>
          <w:szCs w:val="20"/>
        </w:rPr>
      </w:r>
    </w:p>
    <w:p>
      <w:pPr>
        <w:pStyle w:val="Default"/>
        <w:suppressAutoHyphens w:val="false"/>
        <w:jc w:val="both"/>
        <w:rPr>
          <w:sz w:val="20"/>
          <w:szCs w:val="20"/>
        </w:rPr>
      </w:pPr>
      <w:r>
        <w:rPr>
          <w:b w:val="false"/>
          <w:bCs w:val="false"/>
          <w:sz w:val="20"/>
          <w:szCs w:val="20"/>
        </w:rPr>
        <w:t>I testi adottati nelle singole discipline, LIM, volumi di approfondimento (“La Resistenza delle donne” di Benedetta Tobagi), fotocopie, riviste e mensili, materiale audio-video. Come spazi sono stati utilizzati: la classe, il teatro, le sale conferenze della scuola.</w:t>
      </w:r>
    </w:p>
    <w:p>
      <w:pPr>
        <w:pStyle w:val="Normal"/>
        <w:tabs>
          <w:tab w:val="clear" w:pos="708"/>
          <w:tab w:val="left" w:pos="360" w:leader="none"/>
        </w:tabs>
        <w:jc w:val="both"/>
        <w:rPr>
          <w:rFonts w:cs="Calibri Light"/>
          <w:i/>
          <w:i/>
          <w:iCs/>
          <w:sz w:val="20"/>
          <w:szCs w:val="20"/>
        </w:rPr>
      </w:pPr>
      <w:r>
        <w:rPr>
          <w:rFonts w:cs="Calibri Light"/>
          <w:i/>
          <w:iCs/>
          <w:sz w:val="20"/>
          <w:szCs w:val="20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360" w:hanging="360"/>
        <w:jc w:val="both"/>
        <w:rPr>
          <w:sz w:val="20"/>
          <w:szCs w:val="20"/>
        </w:rPr>
      </w:pPr>
      <w:r>
        <w:rPr>
          <w:rFonts w:cs="Calibri Light"/>
          <w:b/>
          <w:bCs/>
          <w:spacing w:val="-10"/>
          <w:sz w:val="20"/>
          <w:szCs w:val="20"/>
        </w:rPr>
        <w:t>5.  Criteri e strumenti di verifica adottati</w:t>
      </w:r>
      <w:r>
        <w:rPr>
          <w:rFonts w:cs="Calibri Light"/>
          <w:b/>
          <w:bCs/>
          <w:i/>
          <w:iCs/>
          <w:spacing w:val="-10"/>
          <w:sz w:val="20"/>
          <w:szCs w:val="20"/>
        </w:rPr>
        <w:t xml:space="preserve"> </w:t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jc w:val="both"/>
        <w:rPr>
          <w:rFonts w:eastAsia="Times New Roman" w:cs="Times New Roman"/>
          <w:color w:val="000000"/>
          <w:sz w:val="20"/>
          <w:szCs w:val="20"/>
          <w:lang w:eastAsia="it-IT"/>
        </w:rPr>
      </w:pPr>
      <w:r>
        <w:rPr>
          <w:rFonts w:eastAsia="Times New Roman" w:cs="Times New Roman"/>
          <w:color w:val="000000"/>
          <w:sz w:val="20"/>
          <w:szCs w:val="20"/>
          <w:lang w:eastAsia="it-IT"/>
        </w:rPr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0"/>
          <w:szCs w:val="20"/>
        </w:rPr>
        <w:t>L’interesse, la partecipazione, la maturazione, il livello di crescita, di approfondimento e di consapevolezza maturate. Il linguaggio e gli atteggiamenti utilizzati. La capacità di autocritica e di ascolto. La responsabilità e il rispetto dei tempi di consegna. Le capacità di stabilire nessi interdisciplinari. La valutazione dei diversi elaborati</w:t>
      </w:r>
      <w:r>
        <w:rPr>
          <w:b w:val="false"/>
          <w:bCs w:val="false"/>
        </w:rPr>
        <w:t xml:space="preserve">. </w:t>
      </w:r>
    </w:p>
    <w:p>
      <w:pPr>
        <w:pStyle w:val="ListNumber"/>
        <w:ind w:left="0" w:right="-1" w:hanging="0"/>
        <w:jc w:val="both"/>
        <w:rPr>
          <w:rFonts w:cs="Calibri Light"/>
          <w:bCs/>
          <w:spacing w:val="-10"/>
          <w:sz w:val="20"/>
          <w:szCs w:val="20"/>
        </w:rPr>
      </w:pPr>
      <w:r>
        <w:rPr>
          <w:rFonts w:cs="Calibri Light"/>
          <w:bCs/>
          <w:spacing w:val="-10"/>
          <w:sz w:val="20"/>
          <w:szCs w:val="20"/>
        </w:rPr>
      </w:r>
    </w:p>
    <w:p>
      <w:pPr>
        <w:pStyle w:val="Normal"/>
        <w:jc w:val="both"/>
        <w:rPr>
          <w:rFonts w:cs="Calibri Light"/>
          <w:b/>
          <w:b/>
          <w:bCs/>
          <w:spacing w:val="-10"/>
          <w:sz w:val="20"/>
          <w:szCs w:val="20"/>
        </w:rPr>
      </w:pPr>
      <w:r>
        <w:rPr>
          <w:rFonts w:cs="Calibri Light"/>
          <w:b/>
          <w:bCs/>
          <w:spacing w:val="-10"/>
          <w:sz w:val="20"/>
          <w:szCs w:val="20"/>
        </w:rPr>
        <w:t>6. Obiettivi raggiunti</w:t>
      </w:r>
    </w:p>
    <w:p>
      <w:pPr>
        <w:pStyle w:val="Corpodeltesto"/>
        <w:jc w:val="both"/>
        <w:rPr>
          <w:rFonts w:ascii="Century Gothic" w:hAnsi="Century Gothic"/>
          <w:b w:val="false"/>
          <w:b w:val="false"/>
          <w:sz w:val="20"/>
          <w:szCs w:val="20"/>
        </w:rPr>
      </w:pPr>
      <w:r>
        <w:rPr>
          <w:rFonts w:ascii="Century Gothic" w:hAnsi="Century Gothic"/>
          <w:b w:val="false"/>
          <w:sz w:val="20"/>
          <w:szCs w:val="20"/>
        </w:rPr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rFonts w:eastAsia="Albany AMT" w:cs="Nimbus Roman No9 L"/>
          <w:b w:val="false"/>
          <w:bCs w:val="false"/>
          <w:sz w:val="20"/>
          <w:szCs w:val="20"/>
        </w:rPr>
        <w:t>I ragazzi hanno maturato una consapevolezza critica nei confronti del tema del confronto con l’Altro. Hanno dimostrato la capacità di mettersi in crisi rispetto ad atteggiamenti e comportamenti consueti e hanno modificato le proprie pratiche di vita e relazionali, maturando una maggior consapevolezza dell’importanza del rispetto e della valorizzazione delle differenze attraverso il superamento di una visione eurocentrica a favore di un divenire planetario comune.</w:t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rFonts w:eastAsia="Albany AMT" w:cs="Nimbus Roman No9 L"/>
          <w:b w:val="false"/>
          <w:bCs w:val="false"/>
          <w:sz w:val="20"/>
          <w:szCs w:val="20"/>
        </w:rPr>
        <w:t>Firenze, 7/5/2024                                                                Il Docente referente</w:t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rFonts w:eastAsia="Albany AMT" w:cs="Nimbus Roman No9 L"/>
          <w:b w:val="false"/>
          <w:bCs w:val="false"/>
          <w:sz w:val="20"/>
          <w:szCs w:val="20"/>
        </w:rPr>
        <w:t xml:space="preserve">                                    </w:t>
      </w:r>
    </w:p>
    <w:p>
      <w:pPr>
        <w:pStyle w:val="Default"/>
        <w:suppressAutoHyphens w:val="false"/>
        <w:jc w:val="both"/>
        <w:rPr>
          <w:b w:val="false"/>
          <w:b w:val="false"/>
          <w:bCs w:val="false"/>
        </w:rPr>
      </w:pPr>
      <w:r>
        <w:rPr>
          <w:rFonts w:eastAsia="Albany AMT" w:cs="Nimbus Roman No9 L"/>
          <w:b w:val="false"/>
          <w:bCs w:val="false"/>
          <w:sz w:val="20"/>
          <w:szCs w:val="20"/>
        </w:rPr>
        <w:t xml:space="preserve">                                                                                             </w:t>
      </w:r>
      <w:r>
        <w:rPr>
          <w:rFonts w:eastAsia="Albany AMT" w:cs="Nimbus Roman No9 L"/>
          <w:b w:val="false"/>
          <w:bCs w:val="false"/>
          <w:sz w:val="20"/>
          <w:szCs w:val="20"/>
        </w:rPr>
        <w:t xml:space="preserve">Prof.ssa Cecilia De Meo </w:t>
      </w:r>
    </w:p>
    <w:p>
      <w:pPr>
        <w:pStyle w:val="Normal"/>
        <w:spacing w:lineRule="auto" w:line="276"/>
        <w:ind w:firstLine="708"/>
        <w:jc w:val="both"/>
        <w:rPr>
          <w:rFonts w:cs="Book Antiqua"/>
          <w:sz w:val="20"/>
          <w:szCs w:val="20"/>
        </w:rPr>
      </w:pPr>
      <w:r>
        <w:rPr>
          <w:rFonts w:cs="Book Antiqua"/>
          <w:sz w:val="20"/>
          <w:szCs w:val="20"/>
        </w:rPr>
      </w:r>
    </w:p>
    <w:p>
      <w:pPr>
        <w:pStyle w:val="Normal"/>
        <w:tabs>
          <w:tab w:val="clear" w:pos="708"/>
          <w:tab w:val="left" w:pos="270" w:leader="none"/>
        </w:tabs>
        <w:ind w:left="30" w:hanging="0"/>
        <w:jc w:val="both"/>
        <w:rPr>
          <w:rFonts w:cs="Nimbus Roman No9 L"/>
          <w:sz w:val="20"/>
          <w:szCs w:val="20"/>
        </w:rPr>
      </w:pPr>
      <w:r>
        <w:rPr>
          <w:rFonts w:cs="Nimbus Roman No9 L"/>
          <w:sz w:val="20"/>
          <w:szCs w:val="20"/>
        </w:rPr>
      </w:r>
    </w:p>
    <w:p>
      <w:pPr>
        <w:pStyle w:val="Normal"/>
        <w:tabs>
          <w:tab w:val="clear" w:pos="708"/>
          <w:tab w:val="left" w:pos="270" w:leader="none"/>
        </w:tabs>
        <w:spacing w:lineRule="atLeast" w:line="200"/>
        <w:ind w:left="30" w:hanging="0"/>
        <w:jc w:val="both"/>
        <w:rPr>
          <w:rFonts w:ascii="Book Antiqua" w:hAnsi="Book Antiqua" w:cs="Book Antiqua"/>
          <w:sz w:val="22"/>
          <w:szCs w:val="22"/>
        </w:rPr>
      </w:pPr>
      <w:r>
        <w:rPr>
          <w:rFonts w:cs="Book Antiqua" w:ascii="Book Antiqua" w:hAnsi="Book Antiqua"/>
          <w:sz w:val="22"/>
          <w:szCs w:val="22"/>
        </w:rPr>
      </w:r>
    </w:p>
    <w:p>
      <w:pPr>
        <w:pStyle w:val="Normal"/>
        <w:tabs>
          <w:tab w:val="clear" w:pos="708"/>
          <w:tab w:val="left" w:pos="4410" w:leader="none"/>
          <w:tab w:val="left" w:pos="4440" w:leader="none"/>
          <w:tab w:val="left" w:pos="4470" w:leader="none"/>
          <w:tab w:val="left" w:pos="4500" w:leader="none"/>
        </w:tabs>
        <w:ind w:left="1470" w:hanging="360"/>
        <w:jc w:val="both"/>
        <w:rPr>
          <w:rFonts w:ascii="Book Antiqua" w:hAnsi="Book Antiqua" w:cs="Book Antiqua"/>
          <w:sz w:val="22"/>
          <w:szCs w:val="22"/>
        </w:rPr>
      </w:pPr>
      <w:r>
        <w:rPr>
          <w:rFonts w:cs="Book Antiqua" w:ascii="Book Antiqua" w:hAnsi="Book Antiqua"/>
          <w:sz w:val="22"/>
          <w:szCs w:val="22"/>
        </w:rPr>
      </w:r>
    </w:p>
    <w:p>
      <w:pPr>
        <w:pStyle w:val="Normal"/>
        <w:jc w:val="both"/>
        <w:rPr>
          <w:rFonts w:ascii="Book Antiqua" w:hAnsi="Book Antiqua" w:cs="Book Antiqua"/>
          <w:sz w:val="22"/>
          <w:szCs w:val="22"/>
        </w:rPr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entury Gothic"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Garamond">
    <w:charset w:val="01"/>
    <w:family w:val="roman"/>
    <w:pitch w:val="variable"/>
  </w:font>
  <w:font w:name="Book Antiqu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  <w:spacing w:val="-10"/>
        <w:b/>
        <w:iCs/>
        <w:rFonts w:cs="Book Antiq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Block Text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10442"/>
    <w:pPr>
      <w:widowControl w:val="false"/>
      <w:suppressAutoHyphens w:val="true"/>
      <w:bidi w:val="0"/>
      <w:spacing w:lineRule="auto" w:line="240" w:before="0" w:after="0"/>
      <w:jc w:val="left"/>
    </w:pPr>
    <w:rPr>
      <w:rFonts w:ascii="Century Gothic" w:hAnsi="Century Gothic" w:eastAsia="Century Gothic" w:cs="Century Gothic"/>
      <w:color w:val="auto"/>
      <w:kern w:val="0"/>
      <w:sz w:val="24"/>
      <w:szCs w:val="24"/>
      <w:lang w:val="it-IT" w:eastAsia="zh-CN" w:bidi="ar-SA"/>
    </w:rPr>
  </w:style>
  <w:style w:type="paragraph" w:styleId="Titolo2">
    <w:name w:val="Heading 2"/>
    <w:basedOn w:val="Normal"/>
    <w:next w:val="Normal"/>
    <w:link w:val="Titolo2Carattere"/>
    <w:qFormat/>
    <w:rsid w:val="005443fe"/>
    <w:pPr>
      <w:keepNext w:val="true"/>
      <w:numPr>
        <w:ilvl w:val="1"/>
        <w:numId w:val="1"/>
      </w:numPr>
      <w:ind w:left="0" w:hanging="0"/>
      <w:outlineLvl w:val="1"/>
    </w:pPr>
    <w:rPr>
      <w:rFonts w:ascii="Times New Roman" w:hAnsi="Times New Roman" w:eastAsia="Droid Sans" w:cs="Lohit Hindi"/>
      <w:i/>
      <w:kern w:val="2"/>
      <w:lang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Carattere" w:customStyle="1">
    <w:name w:val="Corpo del testo Carattere"/>
    <w:basedOn w:val="DefaultParagraphFont"/>
    <w:uiPriority w:val="99"/>
    <w:semiHidden/>
    <w:qFormat/>
    <w:rsid w:val="005443fe"/>
    <w:rPr>
      <w:rFonts w:ascii="Century Gothic" w:hAnsi="Century Gothic" w:eastAsia="Century Gothic" w:cs="Century Gothic"/>
      <w:sz w:val="24"/>
      <w:szCs w:val="24"/>
      <w:lang w:eastAsia="zh-CN"/>
    </w:rPr>
  </w:style>
  <w:style w:type="character" w:styleId="CorpodeltestoCarattere1" w:customStyle="1">
    <w:name w:val="Corpo del testo Carattere1"/>
    <w:basedOn w:val="DefaultParagraphFont"/>
    <w:uiPriority w:val="1"/>
    <w:qFormat/>
    <w:rsid w:val="005443fe"/>
    <w:rPr>
      <w:rFonts w:ascii="Georgia" w:hAnsi="Georgia" w:eastAsia="Georgia" w:cs="Georgia"/>
      <w:b/>
      <w:bCs/>
      <w:sz w:val="18"/>
      <w:szCs w:val="18"/>
      <w:lang w:eastAsia="zh-CN"/>
    </w:rPr>
  </w:style>
  <w:style w:type="character" w:styleId="Titolo2Carattere" w:customStyle="1">
    <w:name w:val="Titolo 2 Carattere"/>
    <w:basedOn w:val="DefaultParagraphFont"/>
    <w:qFormat/>
    <w:rsid w:val="005443fe"/>
    <w:rPr>
      <w:rFonts w:ascii="Times New Roman" w:hAnsi="Times New Roman" w:eastAsia="Droid Sans" w:cs="Lohit Hindi"/>
      <w:i/>
      <w:kern w:val="2"/>
      <w:sz w:val="24"/>
      <w:szCs w:val="24"/>
      <w:lang w:eastAsia="hi-I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1"/>
    <w:uiPriority w:val="1"/>
    <w:qFormat/>
    <w:rsid w:val="005443fe"/>
    <w:pPr>
      <w:jc w:val="center"/>
    </w:pPr>
    <w:rPr>
      <w:rFonts w:ascii="Georgia" w:hAnsi="Georgia" w:eastAsia="Georgia" w:cs="Georgia"/>
      <w:b/>
      <w:bCs/>
      <w:sz w:val="18"/>
      <w:szCs w:val="18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110442"/>
    <w:pPr>
      <w:widowControl/>
      <w:suppressAutoHyphens w:val="true"/>
      <w:bidi w:val="0"/>
      <w:spacing w:lineRule="auto" w:line="240" w:before="0" w:after="0"/>
      <w:jc w:val="left"/>
    </w:pPr>
    <w:rPr>
      <w:rFonts w:ascii="Century Gothic" w:hAnsi="Century Gothic" w:eastAsia="Times New Roman" w:cs="Century Gothic"/>
      <w:color w:val="000000"/>
      <w:kern w:val="0"/>
      <w:sz w:val="24"/>
      <w:szCs w:val="24"/>
      <w:lang w:val="it-IT" w:eastAsia="zh-CN" w:bidi="ar-SA"/>
    </w:rPr>
  </w:style>
  <w:style w:type="paragraph" w:styleId="ListParagraph">
    <w:name w:val="List Paragraph"/>
    <w:basedOn w:val="Normal"/>
    <w:uiPriority w:val="1"/>
    <w:qFormat/>
    <w:rsid w:val="00110442"/>
    <w:pPr>
      <w:suppressAutoHyphens w:val="false"/>
      <w:spacing w:lineRule="exact" w:line="293"/>
      <w:ind w:left="833" w:hanging="360"/>
    </w:pPr>
    <w:rPr>
      <w:rFonts w:ascii="Times New Roman" w:hAnsi="Times New Roman" w:eastAsia="Times New Roman" w:cs="Times New Roman"/>
      <w:sz w:val="22"/>
      <w:szCs w:val="22"/>
      <w:lang w:eastAsia="it-IT" w:bidi="it-IT"/>
    </w:rPr>
  </w:style>
  <w:style w:type="paragraph" w:styleId="NormalWeb">
    <w:name w:val="Normal (Web)"/>
    <w:basedOn w:val="Normal"/>
    <w:uiPriority w:val="99"/>
    <w:unhideWhenUsed/>
    <w:qFormat/>
    <w:rsid w:val="00110442"/>
    <w:pPr>
      <w:widowControl/>
      <w:suppressAutoHyphens w:val="false"/>
      <w:spacing w:beforeAutospacing="1" w:afterAutospacing="1"/>
    </w:pPr>
    <w:rPr>
      <w:rFonts w:ascii="Times" w:hAnsi="Times" w:eastAsia="Cambria" w:cs="Times New Roman"/>
      <w:sz w:val="20"/>
      <w:szCs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5443fe"/>
    <w:pPr>
      <w:suppressAutoHyphens w:val="false"/>
    </w:pPr>
    <w:rPr>
      <w:rFonts w:ascii="Cambria" w:hAnsi="Cambria" w:eastAsia="Cambria" w:cs="Times New Roman"/>
      <w:sz w:val="22"/>
      <w:szCs w:val="22"/>
      <w:lang w:eastAsia="it-IT" w:bidi="it-IT"/>
    </w:rPr>
  </w:style>
  <w:style w:type="paragraph" w:styleId="ListNumber">
    <w:name w:val="List Number"/>
    <w:basedOn w:val="Normal"/>
    <w:qFormat/>
    <w:rsid w:val="005443fe"/>
    <w:pPr>
      <w:spacing w:before="0" w:after="0"/>
      <w:ind w:left="1415" w:hanging="283"/>
      <w:contextualSpacing/>
    </w:pPr>
    <w:rPr>
      <w:lang w:eastAsia="ar-SA"/>
    </w:rPr>
  </w:style>
  <w:style w:type="paragraph" w:styleId="BlockText">
    <w:name w:val="Block Text"/>
    <w:basedOn w:val="Normal"/>
    <w:qFormat/>
    <w:rsid w:val="005443fe"/>
    <w:pPr>
      <w:widowControl/>
      <w:suppressAutoHyphens w:val="false"/>
      <w:spacing w:lineRule="auto" w:line="360"/>
      <w:ind w:left="567" w:right="-427" w:hanging="0"/>
    </w:pPr>
    <w:rPr>
      <w:rFonts w:ascii="Garamond" w:hAnsi="Garamond" w:eastAsia="Times New Roman" w:cs="Garamond"/>
      <w:b/>
      <w:bCs/>
      <w:i/>
      <w:iCs/>
      <w:sz w:val="28"/>
      <w:szCs w:val="28"/>
      <w:lang w:eastAsia="it-IT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Application>LibreOffice/7.3.7.2$Linux_X86_64 LibreOffice_project/30$Build-2</Application>
  <AppVersion>15.0000</AppVersion>
  <Pages>3</Pages>
  <Words>662</Words>
  <Characters>3929</Characters>
  <CharactersWithSpaces>4736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2020-05-24T13:46:00Z</dcterms:created>
  <dc:creator>cecilia</dc:creator>
  <dc:description/>
  <dc:language>it-IT</dc:language>
  <cp:lastModifiedBy/>
  <dcterms:modified xsi:type="dcterms:W3CDTF">2024-05-13T16:54:54Z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